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6157BC" w:rsidRDefault="008D505D" w:rsidP="00CC2D32">
      <w:pPr>
        <w:framePr w:w="9383" w:h="2424" w:hSpace="142" w:wrap="notBeside" w:vAnchor="text" w:hAnchor="page" w:x="1232" w:y="98"/>
        <w:jc w:val="center"/>
        <w:rPr>
          <w:rFonts w:ascii="Arial" w:hAnsi="Arial" w:cs="Arial"/>
          <w:b/>
          <w:color w:val="808080" w:themeColor="background1" w:themeShade="80"/>
        </w:rPr>
      </w:pPr>
      <w:bookmarkStart w:id="0" w:name="_GoBack"/>
      <w:bookmarkEnd w:id="0"/>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5712D0" w:rsidRDefault="00B603D7" w:rsidP="00CC2D32">
      <w:pPr>
        <w:pStyle w:val="Zkladntext2"/>
        <w:framePr w:w="9383" w:h="2424" w:wrap="notBeside" w:x="1232" w:y="98"/>
        <w:rPr>
          <w:sz w:val="32"/>
          <w:szCs w:val="32"/>
        </w:rPr>
      </w:pPr>
      <w:r w:rsidRPr="005712D0">
        <w:rPr>
          <w:sz w:val="32"/>
          <w:szCs w:val="32"/>
        </w:rPr>
        <w:t>„</w:t>
      </w:r>
      <w:r w:rsidR="005C4FE4" w:rsidRPr="005C4FE4">
        <w:rPr>
          <w:sz w:val="32"/>
          <w:szCs w:val="32"/>
        </w:rPr>
        <w:t>SŠ automobilní Holice - modernizace dílen odborného výcviku a praxe</w:t>
      </w:r>
      <w:r w:rsidRPr="005712D0">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DA59A4" w:rsidRPr="00DA59A4">
        <w:rPr>
          <w:b w:val="0"/>
          <w:bCs/>
        </w:rPr>
        <w:t>P17V00000152</w:t>
      </w:r>
    </w:p>
    <w:p w:rsidR="002F57D6" w:rsidRPr="007A6796" w:rsidRDefault="002F57D6" w:rsidP="00CC2D32">
      <w:pPr>
        <w:pStyle w:val="Zkladntext2"/>
        <w:framePr w:w="9383" w:h="2424" w:wrap="notBeside" w:x="1232" w:y="98"/>
        <w:rPr>
          <w:b w:val="0"/>
          <w:bCs/>
        </w:rPr>
      </w:pPr>
    </w:p>
    <w:p w:rsidR="008D505D"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5712D0" w:rsidRDefault="005712D0" w:rsidP="008D505D">
      <w:pPr>
        <w:rPr>
          <w:rFonts w:ascii="Arial" w:hAnsi="Arial" w:cs="Arial"/>
          <w:b/>
          <w:color w:val="000000"/>
          <w:u w:val="single"/>
        </w:rPr>
      </w:pPr>
    </w:p>
    <w:tbl>
      <w:tblPr>
        <w:tblW w:w="9356" w:type="dxa"/>
        <w:tblInd w:w="108" w:type="dxa"/>
        <w:tblLook w:val="04A0" w:firstRow="1" w:lastRow="0" w:firstColumn="1" w:lastColumn="0" w:noHBand="0" w:noVBand="1"/>
      </w:tblPr>
      <w:tblGrid>
        <w:gridCol w:w="1738"/>
        <w:gridCol w:w="2231"/>
        <w:gridCol w:w="5387"/>
      </w:tblGrid>
      <w:tr w:rsidR="005712D0" w:rsidRPr="00E774C8" w:rsidTr="00201712">
        <w:trPr>
          <w:trHeight w:val="513"/>
        </w:trPr>
        <w:tc>
          <w:tcPr>
            <w:tcW w:w="1738" w:type="dxa"/>
            <w:shd w:val="clear" w:color="auto" w:fill="auto"/>
            <w:vAlign w:val="center"/>
          </w:tcPr>
          <w:p w:rsidR="005712D0" w:rsidRPr="00E774C8" w:rsidRDefault="005712D0" w:rsidP="00201712">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5712D0" w:rsidRPr="00E774C8" w:rsidTr="00201712">
        <w:trPr>
          <w:gridBefore w:val="1"/>
          <w:wBefore w:w="1738" w:type="dxa"/>
        </w:trPr>
        <w:tc>
          <w:tcPr>
            <w:tcW w:w="2231" w:type="dxa"/>
            <w:shd w:val="clear" w:color="auto" w:fill="auto"/>
            <w:vAlign w:val="center"/>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5712D0" w:rsidRDefault="005712D0" w:rsidP="005712D0">
            <w:pPr>
              <w:numPr>
                <w:ilvl w:val="12"/>
                <w:numId w:val="0"/>
              </w:numPr>
              <w:spacing w:line="240" w:lineRule="exact"/>
              <w:rPr>
                <w:rFonts w:ascii="Arial" w:hAnsi="Arial"/>
                <w:sz w:val="22"/>
                <w:szCs w:val="22"/>
              </w:rPr>
            </w:pPr>
            <w:r w:rsidRPr="005712D0">
              <w:rPr>
                <w:rFonts w:ascii="Arial" w:hAnsi="Arial"/>
                <w:sz w:val="22"/>
                <w:szCs w:val="22"/>
              </w:rPr>
              <w:t xml:space="preserve">Ing. Jiří Kunt, Ph.D. nebo Ing. Jiří Zevl nebo Ing. Veronika Víšková </w:t>
            </w:r>
          </w:p>
          <w:p w:rsidR="005712D0" w:rsidRPr="0015755F" w:rsidRDefault="005712D0" w:rsidP="005712D0">
            <w:pPr>
              <w:numPr>
                <w:ilvl w:val="12"/>
                <w:numId w:val="0"/>
              </w:numPr>
              <w:spacing w:line="240" w:lineRule="exact"/>
              <w:ind w:firstLine="2265"/>
              <w:rPr>
                <w:rFonts w:ascii="Arial" w:hAnsi="Arial"/>
                <w:sz w:val="22"/>
                <w:szCs w:val="22"/>
              </w:rPr>
            </w:pPr>
            <w:r w:rsidRPr="0015755F">
              <w:rPr>
                <w:rFonts w:ascii="Arial" w:hAnsi="Arial" w:cs="Arial"/>
                <w:sz w:val="22"/>
                <w:szCs w:val="22"/>
              </w:rPr>
              <w:t>nebo technický dozor objednatele</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5712D0" w:rsidRPr="00E774C8" w:rsidRDefault="005712D0" w:rsidP="00201712">
            <w:pPr>
              <w:rPr>
                <w:rFonts w:ascii="Arial" w:hAnsi="Arial"/>
                <w:sz w:val="22"/>
                <w:szCs w:val="22"/>
              </w:rPr>
            </w:pPr>
            <w:r w:rsidRPr="00E774C8">
              <w:rPr>
                <w:rFonts w:ascii="Arial" w:hAnsi="Arial"/>
                <w:sz w:val="22"/>
                <w:szCs w:val="22"/>
              </w:rPr>
              <w:t>70892822</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5712D0" w:rsidRPr="00E774C8" w:rsidRDefault="005712D0" w:rsidP="00201712">
            <w:pPr>
              <w:rPr>
                <w:sz w:val="22"/>
                <w:szCs w:val="22"/>
              </w:rPr>
            </w:pPr>
            <w:r w:rsidRPr="00E774C8">
              <w:rPr>
                <w:rFonts w:ascii="Arial" w:hAnsi="Arial"/>
                <w:sz w:val="22"/>
                <w:szCs w:val="22"/>
              </w:rPr>
              <w:t xml:space="preserve">CZ70892822 </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5712D0" w:rsidRPr="00E774C8" w:rsidRDefault="005712D0" w:rsidP="00201712">
            <w:pPr>
              <w:numPr>
                <w:ilvl w:val="12"/>
                <w:numId w:val="0"/>
              </w:numPr>
              <w:spacing w:line="320" w:lineRule="exact"/>
              <w:jc w:val="both"/>
              <w:rPr>
                <w:rFonts w:ascii="Arial" w:hAnsi="Arial"/>
                <w:sz w:val="22"/>
                <w:szCs w:val="22"/>
              </w:rPr>
            </w:pPr>
            <w:r w:rsidRPr="005712D0">
              <w:rPr>
                <w:rFonts w:ascii="Arial" w:hAnsi="Arial" w:cs="Arial"/>
                <w:sz w:val="22"/>
                <w:szCs w:val="22"/>
              </w:rPr>
              <w:t>ČSOB a.s.</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p>
        </w:tc>
        <w:tc>
          <w:tcPr>
            <w:tcW w:w="5387" w:type="dxa"/>
            <w:shd w:val="clear" w:color="auto" w:fill="auto"/>
          </w:tcPr>
          <w:p w:rsidR="005712D0" w:rsidRPr="00E774C8" w:rsidRDefault="005712D0" w:rsidP="00201712">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5712D0">
              <w:rPr>
                <w:rFonts w:ascii="Arial" w:hAnsi="Arial"/>
                <w:sz w:val="22"/>
                <w:szCs w:val="22"/>
              </w:rPr>
              <w:t>220430221/0300</w:t>
            </w:r>
            <w:proofErr w:type="gramEnd"/>
          </w:p>
        </w:tc>
      </w:tr>
    </w:tbl>
    <w:p w:rsidR="005712D0" w:rsidRDefault="005712D0" w:rsidP="005712D0">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E774C8" w:rsidTr="00201712">
        <w:trPr>
          <w:trHeight w:val="531"/>
        </w:trPr>
        <w:tc>
          <w:tcPr>
            <w:tcW w:w="1738" w:type="dxa"/>
            <w:shd w:val="clear" w:color="auto" w:fill="auto"/>
            <w:vAlign w:val="center"/>
          </w:tcPr>
          <w:p w:rsidR="005712D0" w:rsidRPr="00E774C8" w:rsidRDefault="005712D0" w:rsidP="00201712">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5712D0" w:rsidRPr="00E774C8" w:rsidRDefault="005712D0" w:rsidP="00201712">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5712D0" w:rsidRPr="00E774C8" w:rsidRDefault="005712D0" w:rsidP="00201712">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Default="005712D0" w:rsidP="00201712">
            <w:pPr>
              <w:ind w:left="34"/>
            </w:pPr>
          </w:p>
        </w:tc>
        <w:tc>
          <w:tcPr>
            <w:tcW w:w="5387" w:type="dxa"/>
            <w:shd w:val="clear" w:color="auto" w:fill="auto"/>
          </w:tcPr>
          <w:p w:rsidR="005712D0" w:rsidRDefault="005712D0" w:rsidP="00201712">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5712D0" w:rsidRPr="00E774C8" w:rsidTr="00201712">
        <w:trPr>
          <w:gridBefore w:val="1"/>
          <w:wBefore w:w="1738" w:type="dxa"/>
        </w:trPr>
        <w:tc>
          <w:tcPr>
            <w:tcW w:w="2231" w:type="dxa"/>
            <w:shd w:val="clear" w:color="auto" w:fill="auto"/>
          </w:tcPr>
          <w:p w:rsidR="005712D0" w:rsidRPr="00B66EEC" w:rsidRDefault="005712D0" w:rsidP="00201712">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5712D0" w:rsidRPr="00B66EEC" w:rsidRDefault="005712D0" w:rsidP="00201712">
            <w:pPr>
              <w:ind w:left="34"/>
              <w:rPr>
                <w:rFonts w:ascii="Arial" w:hAnsi="Arial" w:cs="Arial"/>
                <w:b/>
                <w:bCs/>
                <w:sz w:val="22"/>
                <w:szCs w:val="22"/>
              </w:rPr>
            </w:pPr>
            <w:r w:rsidRPr="007F7CBF">
              <w:rPr>
                <w:rFonts w:ascii="Arial" w:hAnsi="Arial" w:cs="Arial"/>
                <w:b/>
                <w:bCs/>
                <w:color w:val="FF0000"/>
                <w:sz w:val="22"/>
                <w:szCs w:val="22"/>
              </w:rPr>
              <w:t>(doplní uchazeč)</w:t>
            </w:r>
          </w:p>
        </w:tc>
      </w:tr>
    </w:tbl>
    <w:p w:rsidR="005712D0" w:rsidRDefault="005712D0" w:rsidP="005712D0">
      <w:pPr>
        <w:ind w:left="2160"/>
        <w:jc w:val="both"/>
        <w:rPr>
          <w:rFonts w:ascii="Arial" w:hAnsi="Arial" w:cs="Arial"/>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Objednatel jako zadavatel veřejné zakázky „</w:t>
      </w:r>
      <w:r w:rsidR="005C4FE4" w:rsidRPr="005C4FE4">
        <w:rPr>
          <w:rFonts w:ascii="Arial" w:hAnsi="Arial" w:cs="Arial"/>
          <w:color w:val="000000"/>
          <w:sz w:val="22"/>
        </w:rPr>
        <w:t>SŠ automobilní Holice - modernizace dílen odborného výcviku a praxe</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5C4FE4" w:rsidRPr="005C4FE4">
        <w:rPr>
          <w:rFonts w:cs="Arial"/>
          <w:b/>
          <w:color w:val="000000"/>
          <w:sz w:val="22"/>
          <w:lang w:val="cs-CZ"/>
        </w:rPr>
        <w:t>SŠ automobilní Holice - modernizace dílen odborného výcviku a praxe</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265C00">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w:t>
      </w:r>
      <w:r w:rsidR="00ED1CA3" w:rsidRPr="006157BC">
        <w:rPr>
          <w:rFonts w:cs="Arial"/>
          <w:sz w:val="22"/>
          <w:lang w:val="cs-CZ"/>
        </w:rPr>
        <w:t xml:space="preserve">dokumentace zpracované </w:t>
      </w:r>
      <w:r w:rsidR="006157BC" w:rsidRPr="006157BC">
        <w:rPr>
          <w:rFonts w:cs="Arial"/>
          <w:sz w:val="22"/>
          <w:lang w:val="cs-CZ"/>
        </w:rPr>
        <w:t>společností APA Vamberk, s.r.o.,</w:t>
      </w:r>
      <w:r w:rsidR="006157BC" w:rsidRPr="006157BC">
        <w:t xml:space="preserve"> </w:t>
      </w:r>
      <w:r w:rsidR="006157BC" w:rsidRPr="006157BC">
        <w:rPr>
          <w:rFonts w:cs="Arial"/>
          <w:sz w:val="22"/>
          <w:lang w:val="cs-CZ"/>
        </w:rPr>
        <w:t>Smetanovo nábřeží 180, 517 54 Vamberk</w:t>
      </w:r>
      <w:r w:rsidR="005712D0" w:rsidRPr="006157BC">
        <w:rPr>
          <w:rFonts w:cs="Arial"/>
          <w:sz w:val="22"/>
          <w:lang w:val="cs-CZ"/>
        </w:rPr>
        <w:t xml:space="preserve">, IČ </w:t>
      </w:r>
      <w:r w:rsidR="006157BC" w:rsidRPr="006157BC">
        <w:rPr>
          <w:rFonts w:cs="Arial"/>
          <w:sz w:val="22"/>
          <w:lang w:val="cs-CZ"/>
        </w:rPr>
        <w:t>64255727</w:t>
      </w:r>
      <w:r w:rsidR="000B2465">
        <w:rPr>
          <w:rFonts w:cs="Arial"/>
          <w:sz w:val="22"/>
          <w:lang w:val="cs-CZ"/>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154B61"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r>
      <w:r w:rsidRPr="00154B61">
        <w:rPr>
          <w:rFonts w:cs="Arial"/>
          <w:sz w:val="22"/>
          <w:lang w:val="cs-CZ"/>
        </w:rPr>
        <w:t>-</w:t>
      </w:r>
      <w:r w:rsidR="006157BC" w:rsidRPr="00154B61">
        <w:rPr>
          <w:rFonts w:cs="Arial"/>
          <w:sz w:val="22"/>
          <w:lang w:val="cs-CZ"/>
        </w:rPr>
        <w:tab/>
      </w:r>
      <w:r w:rsidRPr="00154B61">
        <w:rPr>
          <w:rFonts w:cs="Arial"/>
          <w:sz w:val="22"/>
          <w:lang w:val="cs-CZ"/>
        </w:rPr>
        <w:t>získání potřebných protokolů, povolení, potvrzení, schválení a podobně,</w:t>
      </w:r>
    </w:p>
    <w:p w:rsidR="008D505D" w:rsidRPr="00154B61" w:rsidRDefault="008D505D" w:rsidP="00416F3F">
      <w:pPr>
        <w:pStyle w:val="Odstavec0"/>
        <w:tabs>
          <w:tab w:val="clear" w:pos="709"/>
          <w:tab w:val="left" w:pos="540"/>
        </w:tabs>
        <w:ind w:left="540" w:hanging="54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činnost odpovědného geodeta,</w:t>
      </w:r>
    </w:p>
    <w:p w:rsidR="00D34AB7" w:rsidRPr="00154B61" w:rsidRDefault="00D34AB7" w:rsidP="00416F3F">
      <w:pPr>
        <w:pStyle w:val="Odstavec0"/>
        <w:tabs>
          <w:tab w:val="clear" w:pos="709"/>
          <w:tab w:val="left" w:pos="540"/>
        </w:tabs>
        <w:ind w:left="540" w:hanging="54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součinnost při kolaudaci stavby,</w:t>
      </w:r>
    </w:p>
    <w:p w:rsidR="005A5E79" w:rsidRPr="00154B61" w:rsidRDefault="008D505D" w:rsidP="005A5E79">
      <w:pPr>
        <w:pStyle w:val="Odstavec0"/>
        <w:tabs>
          <w:tab w:val="clear" w:pos="709"/>
          <w:tab w:val="left" w:pos="540"/>
        </w:tabs>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odstraňování vad v záruční době,</w:t>
      </w:r>
    </w:p>
    <w:p w:rsidR="00B67A03" w:rsidRPr="00154B61" w:rsidRDefault="005A5E79" w:rsidP="005A5E79">
      <w:pPr>
        <w:pStyle w:val="Odstavec0"/>
        <w:tabs>
          <w:tab w:val="clear" w:pos="709"/>
          <w:tab w:val="left" w:pos="540"/>
        </w:tabs>
        <w:rPr>
          <w:rFonts w:cs="Arial"/>
          <w:sz w:val="22"/>
          <w:lang w:val="cs-CZ"/>
        </w:rPr>
      </w:pPr>
      <w:r w:rsidRPr="00154B61">
        <w:rPr>
          <w:rFonts w:cs="Arial"/>
          <w:sz w:val="22"/>
          <w:lang w:val="cs-CZ"/>
        </w:rPr>
        <w:tab/>
        <w:t>-</w:t>
      </w:r>
      <w:r w:rsidR="006157BC" w:rsidRPr="00154B61">
        <w:rPr>
          <w:rFonts w:cs="Arial"/>
          <w:sz w:val="22"/>
          <w:lang w:val="cs-CZ"/>
        </w:rPr>
        <w:tab/>
      </w:r>
      <w:r w:rsidR="008D505D" w:rsidRPr="00154B61">
        <w:rPr>
          <w:rFonts w:cs="Arial"/>
          <w:sz w:val="22"/>
          <w:lang w:val="cs-CZ"/>
        </w:rPr>
        <w:t>zpracování dokumentace skutečného provedení díla</w:t>
      </w:r>
    </w:p>
    <w:p w:rsidR="008D505D" w:rsidRPr="007F2C7C" w:rsidRDefault="00B67A03" w:rsidP="006157BC">
      <w:pPr>
        <w:pStyle w:val="Odstavec0"/>
        <w:tabs>
          <w:tab w:val="clear" w:pos="709"/>
          <w:tab w:val="left" w:pos="567"/>
        </w:tabs>
        <w:spacing w:after="120"/>
        <w:ind w:left="709" w:hanging="709"/>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E34725" w:rsidRDefault="00E34725" w:rsidP="005712D0">
      <w:pPr>
        <w:autoSpaceDE w:val="0"/>
        <w:autoSpaceDN w:val="0"/>
        <w:adjustRightInd w:val="0"/>
        <w:jc w:val="both"/>
        <w:rPr>
          <w:rFonts w:ascii="Arial" w:hAnsi="Arial" w:cs="Arial"/>
          <w:color w:val="000000"/>
          <w:sz w:val="22"/>
        </w:rPr>
      </w:pPr>
    </w:p>
    <w:p w:rsidR="00892741" w:rsidRPr="005712D0" w:rsidRDefault="00892741"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Pr="005712D0" w:rsidRDefault="00E34725" w:rsidP="005712D0">
      <w:pPr>
        <w:autoSpaceDE w:val="0"/>
        <w:autoSpaceDN w:val="0"/>
        <w:adjustRightInd w:val="0"/>
        <w:jc w:val="both"/>
        <w:rPr>
          <w:rFonts w:ascii="Arial" w:hAnsi="Arial" w:cs="Arial"/>
          <w:color w:val="000000"/>
          <w:sz w:val="22"/>
        </w:rPr>
      </w:pPr>
    </w:p>
    <w:p w:rsidR="005712D0" w:rsidRPr="005712D0" w:rsidRDefault="005712D0" w:rsidP="005712D0">
      <w:pPr>
        <w:autoSpaceDE w:val="0"/>
        <w:autoSpaceDN w:val="0"/>
        <w:adjustRightInd w:val="0"/>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606B5" w:rsidRPr="009E2FFF" w:rsidRDefault="009606B5" w:rsidP="009606B5">
      <w:pPr>
        <w:pStyle w:val="Textvbloku"/>
        <w:numPr>
          <w:ilvl w:val="0"/>
          <w:numId w:val="7"/>
        </w:numPr>
        <w:tabs>
          <w:tab w:val="clear" w:pos="720"/>
          <w:tab w:val="num" w:pos="284"/>
        </w:tabs>
        <w:spacing w:after="120"/>
        <w:ind w:left="284" w:hanging="284"/>
        <w:rPr>
          <w:sz w:val="22"/>
        </w:rPr>
      </w:pPr>
      <w:r w:rsidRPr="009E2FFF">
        <w:rPr>
          <w:sz w:val="22"/>
        </w:rPr>
        <w:t xml:space="preserve">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který bude nejpozději </w:t>
      </w:r>
      <w:r>
        <w:rPr>
          <w:sz w:val="22"/>
        </w:rPr>
        <w:t>do 14 dnů od odeslání oznámení.</w:t>
      </w:r>
    </w:p>
    <w:p w:rsidR="009606B5" w:rsidRPr="009E2FFF" w:rsidRDefault="009606B5" w:rsidP="009606B5">
      <w:pPr>
        <w:pStyle w:val="Textvbloku"/>
        <w:spacing w:after="120"/>
        <w:ind w:left="284" w:firstLine="0"/>
        <w:rPr>
          <w:sz w:val="22"/>
        </w:rPr>
      </w:pPr>
      <w:r w:rsidRPr="009E2FFF">
        <w:rPr>
          <w:sz w:val="22"/>
        </w:rPr>
        <w:t xml:space="preserve">Předpokládaný termín přiznání dotace je </w:t>
      </w:r>
      <w:r>
        <w:rPr>
          <w:sz w:val="22"/>
        </w:rPr>
        <w:t>leden 2018</w:t>
      </w:r>
      <w:r w:rsidRPr="009E2FFF">
        <w:rPr>
          <w:sz w:val="22"/>
        </w:rPr>
        <w:t>.</w:t>
      </w:r>
    </w:p>
    <w:p w:rsidR="009606B5" w:rsidRPr="00335259" w:rsidRDefault="009606B5" w:rsidP="009606B5">
      <w:pPr>
        <w:numPr>
          <w:ilvl w:val="0"/>
          <w:numId w:val="7"/>
        </w:numPr>
        <w:tabs>
          <w:tab w:val="clear" w:pos="720"/>
          <w:tab w:val="num" w:pos="284"/>
        </w:tabs>
        <w:spacing w:after="120"/>
        <w:ind w:left="284" w:right="-24" w:hanging="284"/>
        <w:jc w:val="both"/>
        <w:rPr>
          <w:rFonts w:ascii="Arial" w:hAnsi="Arial" w:cs="Arial"/>
          <w:sz w:val="22"/>
        </w:rPr>
      </w:pPr>
      <w:r w:rsidRPr="00335259">
        <w:rPr>
          <w:rFonts w:ascii="Arial" w:hAnsi="Arial" w:cs="Arial"/>
          <w:sz w:val="22"/>
        </w:rPr>
        <w:t xml:space="preserve">Stavební práce budou zahájeny (tj. první práce směřující k provedení stavby podle projektové dokumentace budou započaty) do </w:t>
      </w:r>
      <w:r w:rsidRPr="00335259">
        <w:rPr>
          <w:rFonts w:ascii="Arial" w:hAnsi="Arial" w:cs="Arial"/>
          <w:b/>
          <w:sz w:val="22"/>
        </w:rPr>
        <w:t>5</w:t>
      </w:r>
      <w:r w:rsidRPr="00335259">
        <w:rPr>
          <w:rFonts w:ascii="Arial" w:hAnsi="Arial" w:cs="Arial"/>
          <w:sz w:val="22"/>
        </w:rPr>
        <w:t xml:space="preserve"> dní od předání a převzetí staveniště.</w:t>
      </w:r>
    </w:p>
    <w:p w:rsidR="009606B5" w:rsidRPr="00335259" w:rsidRDefault="009606B5" w:rsidP="009606B5">
      <w:pPr>
        <w:pStyle w:val="Textvbloku"/>
        <w:numPr>
          <w:ilvl w:val="0"/>
          <w:numId w:val="7"/>
        </w:numPr>
        <w:tabs>
          <w:tab w:val="clear" w:pos="720"/>
          <w:tab w:val="num" w:pos="284"/>
          <w:tab w:val="num" w:pos="426"/>
        </w:tabs>
        <w:spacing w:after="120"/>
        <w:ind w:left="284" w:right="0" w:hanging="284"/>
        <w:rPr>
          <w:i/>
          <w:sz w:val="22"/>
        </w:rPr>
      </w:pPr>
      <w:r w:rsidRPr="00335259">
        <w:rPr>
          <w:sz w:val="22"/>
        </w:rPr>
        <w:t xml:space="preserve">Zhotovitel se zavazuje dokončit sjednané práce a zároveň předat předmět díla dle čl. I. smlouvy objednateli nejpozději do </w:t>
      </w:r>
      <w:r>
        <w:rPr>
          <w:b/>
          <w:sz w:val="22"/>
        </w:rPr>
        <w:t>3</w:t>
      </w:r>
      <w:r w:rsidR="002C7823">
        <w:rPr>
          <w:b/>
          <w:sz w:val="22"/>
        </w:rPr>
        <w:t>1</w:t>
      </w:r>
      <w:r w:rsidRPr="00335259">
        <w:rPr>
          <w:b/>
          <w:sz w:val="22"/>
        </w:rPr>
        <w:t xml:space="preserve">. </w:t>
      </w:r>
      <w:r w:rsidR="005C4FE4">
        <w:rPr>
          <w:b/>
          <w:sz w:val="22"/>
        </w:rPr>
        <w:t>1</w:t>
      </w:r>
      <w:r w:rsidRPr="00335259">
        <w:rPr>
          <w:b/>
          <w:sz w:val="22"/>
        </w:rPr>
        <w:t>. 201</w:t>
      </w:r>
      <w:r w:rsidR="002C7823">
        <w:rPr>
          <w:b/>
          <w:sz w:val="22"/>
        </w:rPr>
        <w:t>9</w:t>
      </w:r>
      <w:r w:rsidRPr="00335259">
        <w:rPr>
          <w:sz w:val="22"/>
        </w:rPr>
        <w:t>, přičemž je srozuměn s tím, že pozdější předání a převzetí může mít ve vztahu k poskytnuté dotaci vliv na uznatelnost nákladů spojených s prováděním stavby a tím i vznikem škody objednateli.</w:t>
      </w:r>
    </w:p>
    <w:p w:rsidR="009606B5" w:rsidRPr="007F2C7C" w:rsidRDefault="009606B5" w:rsidP="009606B5">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6157BC" w:rsidRDefault="00375D60" w:rsidP="006157BC">
      <w:pPr>
        <w:pStyle w:val="Textvbloku"/>
        <w:numPr>
          <w:ilvl w:val="0"/>
          <w:numId w:val="7"/>
        </w:numPr>
        <w:tabs>
          <w:tab w:val="clear" w:pos="720"/>
          <w:tab w:val="num" w:pos="284"/>
        </w:tabs>
        <w:spacing w:after="120"/>
        <w:ind w:right="0" w:hanging="862"/>
        <w:rPr>
          <w:sz w:val="22"/>
        </w:rPr>
      </w:pPr>
      <w:r w:rsidRPr="00A42EF3">
        <w:rPr>
          <w:sz w:val="22"/>
        </w:rPr>
        <w:t xml:space="preserve">Místem plnění je </w:t>
      </w:r>
      <w:r w:rsidR="006157BC" w:rsidRPr="006157BC">
        <w:rPr>
          <w:sz w:val="22"/>
        </w:rPr>
        <w:t>Střední škola automobilní Holice</w:t>
      </w:r>
      <w:r w:rsidR="009606B5" w:rsidRPr="006157BC">
        <w:rPr>
          <w:sz w:val="22"/>
        </w:rPr>
        <w:t xml:space="preserve">, </w:t>
      </w:r>
      <w:r w:rsidR="006157BC" w:rsidRPr="006157BC">
        <w:rPr>
          <w:sz w:val="22"/>
        </w:rPr>
        <w:t>Nádražní 301, 534 01 Holice</w:t>
      </w:r>
      <w:r w:rsidR="000831A2" w:rsidRPr="006157BC">
        <w:rPr>
          <w:sz w:val="22"/>
        </w:rPr>
        <w:t>.</w:t>
      </w:r>
    </w:p>
    <w:p w:rsidR="00B67A03" w:rsidRPr="006157B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6157BC">
        <w:rPr>
          <w:rFonts w:ascii="Arial" w:hAnsi="Arial" w:cs="Arial"/>
          <w:sz w:val="22"/>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9606B5" w:rsidRPr="006157BC">
        <w:rPr>
          <w:rFonts w:ascii="Arial" w:hAnsi="Arial" w:cs="Arial"/>
          <w:b/>
          <w:sz w:val="22"/>
        </w:rPr>
        <w:t>2</w:t>
      </w:r>
      <w:r w:rsidR="00121697" w:rsidRPr="006157BC">
        <w:rPr>
          <w:rFonts w:ascii="Arial" w:hAnsi="Arial" w:cs="Arial"/>
          <w:b/>
          <w:sz w:val="22"/>
        </w:rPr>
        <w:t xml:space="preserve"> mil.</w:t>
      </w:r>
      <w:r w:rsidRPr="006157BC">
        <w:rPr>
          <w:rFonts w:ascii="Arial" w:hAnsi="Arial" w:cs="Arial"/>
          <w:b/>
          <w:sz w:val="22"/>
        </w:rPr>
        <w:t xml:space="preserve"> Kč</w:t>
      </w:r>
      <w:r w:rsidRPr="006157BC">
        <w:rPr>
          <w:rFonts w:ascii="Arial" w:hAnsi="Arial" w:cs="Arial"/>
          <w:sz w:val="22"/>
        </w:rPr>
        <w:t>. Zhotovitel je povinen t</w:t>
      </w:r>
      <w:r w:rsidR="0035577C" w:rsidRPr="006157BC">
        <w:rPr>
          <w:rFonts w:ascii="Arial" w:hAnsi="Arial" w:cs="Arial"/>
          <w:sz w:val="22"/>
        </w:rPr>
        <w:t>u</w:t>
      </w:r>
      <w:r w:rsidRPr="006157BC">
        <w:rPr>
          <w:rFonts w:ascii="Arial" w:hAnsi="Arial" w:cs="Arial"/>
          <w:sz w:val="22"/>
        </w:rPr>
        <w:t>to pojistn</w:t>
      </w:r>
      <w:r w:rsidR="0035577C" w:rsidRPr="006157BC">
        <w:rPr>
          <w:rFonts w:ascii="Arial" w:hAnsi="Arial" w:cs="Arial"/>
          <w:sz w:val="22"/>
        </w:rPr>
        <w:t>ou</w:t>
      </w:r>
      <w:r w:rsidRPr="006157BC">
        <w:rPr>
          <w:rFonts w:ascii="Arial" w:hAnsi="Arial" w:cs="Arial"/>
          <w:sz w:val="22"/>
        </w:rPr>
        <w:t xml:space="preserve"> smlouv</w:t>
      </w:r>
      <w:r w:rsidR="0035577C" w:rsidRPr="006157BC">
        <w:rPr>
          <w:rFonts w:ascii="Arial" w:hAnsi="Arial" w:cs="Arial"/>
          <w:sz w:val="22"/>
        </w:rPr>
        <w:t>u</w:t>
      </w:r>
      <w:r w:rsidRPr="006157BC">
        <w:rPr>
          <w:rFonts w:ascii="Arial" w:hAnsi="Arial" w:cs="Arial"/>
          <w:sz w:val="22"/>
        </w:rPr>
        <w:t xml:space="preserve"> předložit objednateli </w:t>
      </w:r>
      <w:r w:rsidR="005535EC" w:rsidRPr="006157BC">
        <w:rPr>
          <w:rFonts w:ascii="Arial" w:hAnsi="Arial" w:cs="Arial"/>
          <w:sz w:val="22"/>
        </w:rPr>
        <w:t>před podpisem této smlouvy</w:t>
      </w:r>
      <w:r w:rsidR="00CE57A8" w:rsidRPr="006157BC">
        <w:rPr>
          <w:rFonts w:ascii="Arial" w:hAnsi="Arial" w:cs="Arial"/>
          <w:sz w:val="22"/>
        </w:rPr>
        <w:t>; dále pak</w:t>
      </w:r>
      <w:r w:rsidR="005535EC" w:rsidRPr="006157BC">
        <w:rPr>
          <w:rFonts w:ascii="Arial" w:hAnsi="Arial" w:cs="Arial"/>
          <w:sz w:val="22"/>
        </w:rPr>
        <w:t xml:space="preserve"> v</w:t>
      </w:r>
      <w:r w:rsidR="00CE57A8" w:rsidRPr="006157BC">
        <w:rPr>
          <w:rFonts w:ascii="Arial" w:hAnsi="Arial" w:cs="Arial"/>
          <w:sz w:val="22"/>
        </w:rPr>
        <w:t> </w:t>
      </w:r>
      <w:r w:rsidR="005535EC" w:rsidRPr="006157BC">
        <w:rPr>
          <w:rFonts w:ascii="Arial" w:hAnsi="Arial" w:cs="Arial"/>
          <w:sz w:val="22"/>
        </w:rPr>
        <w:t>průběhu</w:t>
      </w:r>
      <w:r w:rsidR="00CE57A8" w:rsidRPr="006157BC">
        <w:rPr>
          <w:rFonts w:ascii="Arial" w:hAnsi="Arial" w:cs="Arial"/>
          <w:sz w:val="22"/>
        </w:rPr>
        <w:t xml:space="preserve"> realizace díla</w:t>
      </w:r>
      <w:r w:rsidR="005535EC" w:rsidRPr="006157BC">
        <w:rPr>
          <w:rFonts w:ascii="Arial" w:hAnsi="Arial" w:cs="Arial"/>
          <w:sz w:val="22"/>
        </w:rPr>
        <w:t xml:space="preserve"> </w:t>
      </w:r>
      <w:r w:rsidR="00CE57A8" w:rsidRPr="006157BC">
        <w:rPr>
          <w:rFonts w:ascii="Arial" w:hAnsi="Arial" w:cs="Arial"/>
          <w:sz w:val="22"/>
        </w:rPr>
        <w:t xml:space="preserve">vždy </w:t>
      </w:r>
      <w:r w:rsidRPr="006157BC">
        <w:rPr>
          <w:rFonts w:ascii="Arial" w:hAnsi="Arial" w:cs="Arial"/>
          <w:sz w:val="22"/>
        </w:rPr>
        <w:t>na žádost</w:t>
      </w:r>
      <w:r w:rsidR="00CE57A8" w:rsidRPr="006157BC">
        <w:rPr>
          <w:rFonts w:ascii="Arial" w:hAnsi="Arial" w:cs="Arial"/>
          <w:sz w:val="22"/>
        </w:rPr>
        <w:t xml:space="preserve"> </w:t>
      </w:r>
      <w:r w:rsidR="00477938" w:rsidRPr="006157BC">
        <w:rPr>
          <w:rFonts w:ascii="Arial" w:hAnsi="Arial" w:cs="Arial"/>
          <w:sz w:val="22"/>
        </w:rPr>
        <w:t>objednatele</w:t>
      </w:r>
      <w:r w:rsidRPr="006157B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6157BC">
        <w:rPr>
          <w:rFonts w:ascii="Arial" w:hAnsi="Arial" w:cs="Arial"/>
          <w:color w:val="000000"/>
          <w:sz w:val="22"/>
        </w:rPr>
        <w:t>Zhotovitel se zavazuje zaplatit objednateli smluvní pokutu ve výši 1% ze smluvní ceny díla za</w:t>
      </w:r>
      <w:r w:rsidR="00477938" w:rsidRPr="006157BC">
        <w:rPr>
          <w:rFonts w:ascii="Arial" w:hAnsi="Arial" w:cs="Arial"/>
          <w:color w:val="000000"/>
          <w:sz w:val="22"/>
        </w:rPr>
        <w:t xml:space="preserve"> případ</w:t>
      </w:r>
      <w:r w:rsidRPr="006157BC">
        <w:rPr>
          <w:rFonts w:ascii="Arial" w:hAnsi="Arial" w:cs="Arial"/>
          <w:color w:val="000000"/>
          <w:sz w:val="22"/>
        </w:rPr>
        <w:t xml:space="preserve"> porušení smluvní povinnosti mít po celou dobu realizace předmětu díla uzavřenou platnou a účinnou pojistnou smlouvu </w:t>
      </w:r>
      <w:r w:rsidRPr="006157BC">
        <w:rPr>
          <w:rFonts w:ascii="Arial" w:hAnsi="Arial" w:cs="Arial"/>
          <w:sz w:val="22"/>
        </w:rPr>
        <w:t>zahrnující pojištění odpovědnosti za škodu způsobenou třetím osobám</w:t>
      </w:r>
      <w:r w:rsidRPr="006157BC">
        <w:rPr>
          <w:rFonts w:ascii="Arial" w:hAnsi="Arial" w:cs="Arial"/>
          <w:color w:val="000000"/>
          <w:sz w:val="22"/>
        </w:rPr>
        <w:t xml:space="preserve"> dle smlouvy</w:t>
      </w:r>
      <w:r w:rsidR="00477938" w:rsidRPr="006157BC">
        <w:rPr>
          <w:rFonts w:ascii="Arial" w:hAnsi="Arial" w:cs="Arial"/>
          <w:color w:val="000000"/>
          <w:sz w:val="22"/>
        </w:rPr>
        <w:t xml:space="preserve"> a dále rovněž v případě nesplnění povinnosti</w:t>
      </w:r>
      <w:r w:rsidR="00477938" w:rsidRPr="007F2C7C">
        <w:rPr>
          <w:rFonts w:ascii="Arial" w:hAnsi="Arial" w:cs="Arial"/>
          <w:color w:val="000000"/>
          <w:sz w:val="22"/>
        </w:rPr>
        <w:t xml:space="preserve"> předložit objednateli platnou a účinnou pojistnou smlouvu do </w:t>
      </w:r>
      <w:r w:rsidR="00534174">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6157BC" w:rsidRDefault="006157BC" w:rsidP="006157BC">
      <w:pPr>
        <w:tabs>
          <w:tab w:val="num" w:pos="720"/>
        </w:tabs>
        <w:spacing w:after="120"/>
        <w:ind w:left="284" w:right="-24"/>
        <w:jc w:val="both"/>
        <w:rPr>
          <w:rFonts w:ascii="Arial" w:hAnsi="Arial" w:cs="Arial"/>
          <w:sz w:val="22"/>
        </w:rPr>
      </w:pPr>
    </w:p>
    <w:p w:rsidR="00892741" w:rsidRDefault="00892741" w:rsidP="006157BC">
      <w:pPr>
        <w:tabs>
          <w:tab w:val="num" w:pos="720"/>
        </w:tabs>
        <w:spacing w:after="120"/>
        <w:ind w:left="284" w:right="-24"/>
        <w:jc w:val="both"/>
        <w:rPr>
          <w:rFonts w:ascii="Arial" w:hAnsi="Arial" w:cs="Arial"/>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Default="002F57D6" w:rsidP="005712D0">
      <w:pPr>
        <w:autoSpaceDE w:val="0"/>
        <w:autoSpaceDN w:val="0"/>
        <w:adjustRightInd w:val="0"/>
        <w:jc w:val="both"/>
        <w:rPr>
          <w:rFonts w:ascii="Arial" w:hAnsi="Arial" w:cs="Arial"/>
          <w:color w:val="000000"/>
          <w:sz w:val="22"/>
        </w:rPr>
      </w:pPr>
    </w:p>
    <w:p w:rsidR="00154B61" w:rsidRPr="005712D0" w:rsidRDefault="00154B61"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154B61" w:rsidRDefault="00154B61" w:rsidP="00597FA8">
      <w:pPr>
        <w:spacing w:before="240"/>
        <w:ind w:right="-23"/>
        <w:jc w:val="center"/>
        <w:rPr>
          <w:rFonts w:ascii="Arial" w:hAnsi="Arial" w:cs="Arial"/>
          <w:b/>
          <w:szCs w:val="22"/>
        </w:rPr>
      </w:pPr>
    </w:p>
    <w:p w:rsidR="00154B61" w:rsidRDefault="00154B61" w:rsidP="00597FA8">
      <w:pPr>
        <w:spacing w:before="240"/>
        <w:ind w:right="-23"/>
        <w:jc w:val="center"/>
        <w:rPr>
          <w:rFonts w:ascii="Arial" w:hAnsi="Arial" w:cs="Arial"/>
          <w:b/>
          <w:szCs w:val="22"/>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lastRenderedPageBreak/>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CE6AD9">
        <w:rPr>
          <w:rFonts w:ascii="Arial" w:hAnsi="Arial" w:cs="Arial"/>
          <w:sz w:val="22"/>
          <w:szCs w:val="22"/>
        </w:rPr>
        <w:t>3</w:t>
      </w:r>
      <w:r w:rsidR="009606B5">
        <w:rPr>
          <w:rFonts w:ascii="Arial" w:hAnsi="Arial" w:cs="Arial"/>
          <w:sz w:val="22"/>
          <w:szCs w:val="22"/>
        </w:rPr>
        <w:t>0</w:t>
      </w:r>
      <w:r w:rsidR="00CE6AD9">
        <w:rPr>
          <w:rFonts w:ascii="Arial" w:hAnsi="Arial" w:cs="Arial"/>
          <w:sz w:val="22"/>
          <w:szCs w:val="22"/>
        </w:rPr>
        <w:t xml:space="preserve">. </w:t>
      </w:r>
      <w:r w:rsidR="002C7823">
        <w:rPr>
          <w:rFonts w:ascii="Arial" w:hAnsi="Arial" w:cs="Arial"/>
          <w:sz w:val="22"/>
          <w:szCs w:val="22"/>
        </w:rPr>
        <w:t>4</w:t>
      </w:r>
      <w:r w:rsidRPr="00597FA8">
        <w:rPr>
          <w:rFonts w:ascii="Arial" w:hAnsi="Arial" w:cs="Arial"/>
          <w:sz w:val="22"/>
          <w:szCs w:val="22"/>
        </w:rPr>
        <w:t>.</w:t>
      </w:r>
      <w:r w:rsidR="00CE6AD9">
        <w:rPr>
          <w:rFonts w:ascii="Arial" w:hAnsi="Arial" w:cs="Arial"/>
          <w:sz w:val="22"/>
          <w:szCs w:val="22"/>
        </w:rPr>
        <w:t xml:space="preserve"> 201</w:t>
      </w:r>
      <w:r w:rsidR="00A956CD">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813E88">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Default="00E34725" w:rsidP="005712D0">
      <w:pPr>
        <w:autoSpaceDE w:val="0"/>
        <w:autoSpaceDN w:val="0"/>
        <w:adjustRightInd w:val="0"/>
        <w:jc w:val="both"/>
        <w:rPr>
          <w:rFonts w:ascii="Arial" w:hAnsi="Arial" w:cs="Arial"/>
          <w:color w:val="000000"/>
          <w:sz w:val="22"/>
        </w:rPr>
      </w:pPr>
    </w:p>
    <w:p w:rsidR="006157BC" w:rsidRPr="005712D0" w:rsidRDefault="006157BC" w:rsidP="005712D0">
      <w:pPr>
        <w:autoSpaceDE w:val="0"/>
        <w:autoSpaceDN w:val="0"/>
        <w:adjustRightInd w:val="0"/>
        <w:jc w:val="both"/>
        <w:rPr>
          <w:rFonts w:ascii="Arial" w:hAnsi="Arial" w:cs="Arial"/>
          <w:color w:val="000000"/>
          <w:sz w:val="22"/>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1A602D" w:rsidP="00A136D3">
      <w:pPr>
        <w:numPr>
          <w:ilvl w:val="0"/>
          <w:numId w:val="11"/>
        </w:numPr>
        <w:spacing w:after="120"/>
        <w:ind w:left="284" w:hanging="284"/>
        <w:jc w:val="both"/>
        <w:rPr>
          <w:rFonts w:ascii="Arial" w:hAnsi="Arial" w:cs="Arial"/>
          <w:b/>
          <w:u w:val="single"/>
        </w:rPr>
      </w:pPr>
      <w:r>
        <w:rPr>
          <w:rFonts w:ascii="Arial" w:hAnsi="Arial" w:cs="Arial"/>
          <w:sz w:val="22"/>
          <w:szCs w:val="22"/>
        </w:rPr>
        <w:t>Příslušná dokumentace</w:t>
      </w:r>
      <w:r w:rsidRPr="00ED6985">
        <w:rPr>
          <w:rFonts w:ascii="Arial" w:hAnsi="Arial" w:cs="Arial"/>
          <w:sz w:val="22"/>
          <w:szCs w:val="22"/>
        </w:rPr>
        <w:t xml:space="preserve"> </w:t>
      </w:r>
      <w:r>
        <w:rPr>
          <w:rFonts w:ascii="Arial" w:hAnsi="Arial" w:cs="Arial"/>
          <w:sz w:val="22"/>
          <w:szCs w:val="22"/>
        </w:rPr>
        <w:t>k </w:t>
      </w:r>
      <w:r w:rsidRPr="00ED6985">
        <w:rPr>
          <w:rFonts w:ascii="Arial" w:hAnsi="Arial" w:cs="Arial"/>
          <w:sz w:val="22"/>
          <w:szCs w:val="22"/>
        </w:rPr>
        <w:t xml:space="preserve">provádění díla </w:t>
      </w:r>
      <w:r>
        <w:rPr>
          <w:rFonts w:ascii="Arial" w:hAnsi="Arial" w:cs="Arial"/>
          <w:sz w:val="22"/>
          <w:szCs w:val="22"/>
        </w:rPr>
        <w:t xml:space="preserve">bude mezi stranami předána v termínu dojednaném </w:t>
      </w:r>
      <w:r w:rsidRPr="00ED6985">
        <w:rPr>
          <w:rFonts w:ascii="Arial" w:hAnsi="Arial" w:cs="Arial"/>
          <w:sz w:val="22"/>
          <w:szCs w:val="22"/>
        </w:rPr>
        <w:t>p</w:t>
      </w:r>
      <w:r>
        <w:rPr>
          <w:rFonts w:ascii="Arial" w:hAnsi="Arial" w:cs="Arial"/>
          <w:sz w:val="22"/>
          <w:szCs w:val="22"/>
        </w:rPr>
        <w:t>o</w:t>
      </w:r>
      <w:r w:rsidRPr="00ED6985">
        <w:rPr>
          <w:rFonts w:ascii="Arial" w:hAnsi="Arial" w:cs="Arial"/>
          <w:sz w:val="22"/>
          <w:szCs w:val="22"/>
        </w:rPr>
        <w:t xml:space="preserve"> podpisu smlouvy smluvními stranami</w:t>
      </w:r>
      <w:r>
        <w:rPr>
          <w:rFonts w:ascii="Arial" w:hAnsi="Arial" w:cs="Arial"/>
          <w:sz w:val="22"/>
          <w:szCs w:val="22"/>
        </w:rPr>
        <w:t xml:space="preserve"> na úrovni osob jednajících ve věcech technických.</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F22372">
      <w:pPr>
        <w:spacing w:after="100"/>
        <w:ind w:left="567" w:hanging="283"/>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F22372">
      <w:pPr>
        <w:spacing w:after="100"/>
        <w:ind w:left="567" w:hanging="283"/>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F22372">
      <w:pPr>
        <w:spacing w:after="120"/>
        <w:ind w:left="567" w:hanging="283"/>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CB3A6B">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6157BC">
        <w:rPr>
          <w:rFonts w:ascii="Arial" w:hAnsi="Arial" w:cs="Arial"/>
          <w:color w:val="808080" w:themeColor="background1" w:themeShade="80"/>
          <w:sz w:val="22"/>
        </w:rPr>
        <w:t>(</w:t>
      </w:r>
      <w:r w:rsidR="008D505D" w:rsidRPr="006157BC">
        <w:rPr>
          <w:rFonts w:ascii="Arial" w:hAnsi="Arial" w:cs="Arial"/>
          <w:b/>
          <w:color w:val="808080" w:themeColor="background1" w:themeShade="80"/>
          <w:sz w:val="22"/>
        </w:rPr>
        <w:t>doplní objednatel</w:t>
      </w:r>
      <w:r w:rsidR="008D505D" w:rsidRPr="006157BC">
        <w:rPr>
          <w:rFonts w:ascii="Arial" w:hAnsi="Arial" w:cs="Arial"/>
          <w:color w:val="808080" w:themeColor="background1" w:themeShade="80"/>
          <w:sz w:val="22"/>
        </w:rPr>
        <w:t>)</w:t>
      </w:r>
      <w:r w:rsidR="008D505D" w:rsidRPr="007F2C7C">
        <w:rPr>
          <w:rFonts w:ascii="Arial" w:hAnsi="Arial" w:cs="Arial"/>
          <w:sz w:val="22"/>
        </w:rPr>
        <w:t xml:space="preserve"> a schválen usnesením číslo </w:t>
      </w:r>
      <w:r w:rsidR="008D505D" w:rsidRPr="006157BC">
        <w:rPr>
          <w:rFonts w:ascii="Arial" w:hAnsi="Arial" w:cs="Arial"/>
          <w:color w:val="808080" w:themeColor="background1" w:themeShade="80"/>
          <w:sz w:val="22"/>
        </w:rPr>
        <w:t>(</w:t>
      </w:r>
      <w:r w:rsidR="008D505D" w:rsidRPr="006157BC">
        <w:rPr>
          <w:rFonts w:ascii="Arial" w:hAnsi="Arial" w:cs="Arial"/>
          <w:b/>
          <w:color w:val="808080" w:themeColor="background1" w:themeShade="80"/>
          <w:sz w:val="22"/>
        </w:rPr>
        <w:t>doplní objednatel</w:t>
      </w:r>
      <w:r w:rsidR="008D505D" w:rsidRPr="006157BC">
        <w:rPr>
          <w:rFonts w:ascii="Arial" w:hAnsi="Arial" w:cs="Arial"/>
          <w:color w:val="808080" w:themeColor="background1" w:themeShade="80"/>
          <w:sz w:val="22"/>
        </w:rPr>
        <w:t>).</w:t>
      </w:r>
    </w:p>
    <w:p w:rsidR="00D01F51" w:rsidRPr="005712D0" w:rsidRDefault="00D01F51" w:rsidP="005712D0">
      <w:pPr>
        <w:autoSpaceDE w:val="0"/>
        <w:autoSpaceDN w:val="0"/>
        <w:adjustRightInd w:val="0"/>
        <w:jc w:val="both"/>
        <w:rPr>
          <w:rFonts w:ascii="Arial" w:hAnsi="Arial" w:cs="Arial"/>
          <w:color w:val="000000"/>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712D0" w:rsidRDefault="005712D0"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201712">
        <w:trPr>
          <w:trHeight w:val="1965"/>
        </w:trPr>
        <w:tc>
          <w:tcPr>
            <w:tcW w:w="4465" w:type="dxa"/>
            <w:shd w:val="clear" w:color="auto" w:fill="auto"/>
          </w:tcPr>
          <w:p w:rsidR="005712D0" w:rsidRPr="00E10084" w:rsidRDefault="005712D0" w:rsidP="00201712">
            <w:pPr>
              <w:jc w:val="center"/>
              <w:rPr>
                <w:rFonts w:ascii="Arial" w:hAnsi="Arial" w:cs="Arial"/>
                <w:sz w:val="22"/>
              </w:rPr>
            </w:pPr>
            <w:r w:rsidRPr="00E10084">
              <w:rPr>
                <w:rFonts w:ascii="Arial" w:hAnsi="Arial" w:cs="Arial"/>
                <w:sz w:val="22"/>
              </w:rPr>
              <w:t>Objednatel:</w:t>
            </w: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201712">
            <w:pPr>
              <w:jc w:val="center"/>
              <w:rPr>
                <w:rFonts w:ascii="Arial" w:hAnsi="Arial" w:cs="Arial"/>
                <w:sz w:val="22"/>
              </w:rPr>
            </w:pPr>
            <w:r w:rsidRPr="00E10084">
              <w:rPr>
                <w:rFonts w:ascii="Arial" w:hAnsi="Arial" w:cs="Arial"/>
                <w:sz w:val="22"/>
              </w:rPr>
              <w:t>Zhotovitel:</w:t>
            </w: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r w:rsidRPr="0098719F">
              <w:rPr>
                <w:rFonts w:ascii="Arial" w:hAnsi="Arial" w:cs="Arial"/>
                <w:sz w:val="22"/>
                <w:szCs w:val="22"/>
              </w:rPr>
              <w:t>--------------------------------------------------</w:t>
            </w:r>
          </w:p>
        </w:tc>
      </w:tr>
      <w:tr w:rsidR="005712D0" w:rsidRPr="0098719F" w:rsidTr="00201712">
        <w:tc>
          <w:tcPr>
            <w:tcW w:w="4465" w:type="dxa"/>
            <w:shd w:val="clear" w:color="auto" w:fill="auto"/>
          </w:tcPr>
          <w:p w:rsidR="005712D0" w:rsidRPr="0098719F" w:rsidRDefault="005712D0" w:rsidP="00201712">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201712">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20171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20171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201712">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5712D0" w:rsidRPr="00120702" w:rsidRDefault="005712D0" w:rsidP="005712D0">
      <w:pPr>
        <w:ind w:right="-766"/>
        <w:jc w:val="both"/>
        <w:rPr>
          <w:rFonts w:ascii="Arial" w:hAnsi="Arial"/>
          <w:sz w:val="4"/>
          <w:szCs w:val="4"/>
        </w:rPr>
      </w:pPr>
    </w:p>
    <w:p w:rsidR="00C618AA" w:rsidRPr="00BB6957" w:rsidRDefault="00C618AA" w:rsidP="005712D0">
      <w:pPr>
        <w:ind w:right="-766"/>
        <w:jc w:val="both"/>
        <w:rPr>
          <w:rFonts w:ascii="Arial" w:hAnsi="Arial"/>
        </w:rPr>
      </w:pPr>
    </w:p>
    <w:sectPr w:rsidR="00C618AA" w:rsidRPr="00BB6957" w:rsidSect="006157BC">
      <w:headerReference w:type="default" r:id="rId9"/>
      <w:footerReference w:type="even" r:id="rId10"/>
      <w:footerReference w:type="default" r:id="rId11"/>
      <w:headerReference w:type="first" r:id="rId12"/>
      <w:footerReference w:type="first" r:id="rId13"/>
      <w:pgSz w:w="11907" w:h="16840" w:code="9"/>
      <w:pgMar w:top="1200" w:right="1418" w:bottom="993"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64" w:rsidRDefault="00822164">
      <w:r>
        <w:separator/>
      </w:r>
    </w:p>
  </w:endnote>
  <w:endnote w:type="continuationSeparator" w:id="0">
    <w:p w:rsidR="00822164" w:rsidRDefault="0082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0A1B15" w:rsidP="00E734DE">
    <w:pPr>
      <w:pStyle w:val="Zpat"/>
      <w:framePr w:wrap="around" w:vAnchor="text" w:hAnchor="margin" w:xAlign="center" w:y="1"/>
      <w:rPr>
        <w:rStyle w:val="slostrnky"/>
      </w:rPr>
    </w:pPr>
    <w:r>
      <w:rPr>
        <w:rStyle w:val="slostrnky"/>
      </w:rPr>
      <w:fldChar w:fldCharType="begin"/>
    </w:r>
    <w:r w:rsidR="00822164">
      <w:rPr>
        <w:rStyle w:val="slostrnky"/>
      </w:rPr>
      <w:instrText xml:space="preserve">PAGE  </w:instrText>
    </w:r>
    <w:r>
      <w:rPr>
        <w:rStyle w:val="slostrnky"/>
      </w:rPr>
      <w:fldChar w:fldCharType="end"/>
    </w:r>
  </w:p>
  <w:p w:rsidR="00822164" w:rsidRDefault="008221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5712D0" w:rsidRDefault="005712D0" w:rsidP="005712D0">
    <w:pPr>
      <w:pStyle w:val="Zpat"/>
      <w:pBdr>
        <w:top w:val="single" w:sz="4" w:space="1" w:color="auto"/>
      </w:pBdr>
      <w:tabs>
        <w:tab w:val="clear" w:pos="4819"/>
        <w:tab w:val="center" w:pos="4536"/>
      </w:tabs>
      <w:jc w:val="right"/>
      <w:rPr>
        <w:rStyle w:val="slostrnky"/>
        <w:rFonts w:ascii="Arial" w:hAnsi="Arial" w:cs="Arial"/>
        <w:sz w:val="18"/>
        <w:szCs w:val="18"/>
      </w:rPr>
    </w:pPr>
    <w:r w:rsidRPr="00DA462C">
      <w:rPr>
        <w:rFonts w:ascii="Arial" w:hAnsi="Arial" w:cs="Arial"/>
        <w:sz w:val="18"/>
        <w:szCs w:val="18"/>
      </w:rPr>
      <w:t xml:space="preserve">Strana </w:t>
    </w:r>
    <w:r w:rsidR="000A1B15" w:rsidRPr="00DA462C">
      <w:rPr>
        <w:rFonts w:ascii="Arial" w:hAnsi="Arial" w:cs="Arial"/>
        <w:sz w:val="18"/>
        <w:szCs w:val="18"/>
      </w:rPr>
      <w:fldChar w:fldCharType="begin"/>
    </w:r>
    <w:r w:rsidRPr="00DA462C">
      <w:rPr>
        <w:rFonts w:ascii="Arial" w:hAnsi="Arial" w:cs="Arial"/>
        <w:sz w:val="18"/>
        <w:szCs w:val="18"/>
      </w:rPr>
      <w:instrText xml:space="preserve"> PAGE </w:instrText>
    </w:r>
    <w:r w:rsidR="000A1B15" w:rsidRPr="00DA462C">
      <w:rPr>
        <w:rFonts w:ascii="Arial" w:hAnsi="Arial" w:cs="Arial"/>
        <w:sz w:val="18"/>
        <w:szCs w:val="18"/>
      </w:rPr>
      <w:fldChar w:fldCharType="separate"/>
    </w:r>
    <w:r w:rsidR="008933E5">
      <w:rPr>
        <w:rFonts w:ascii="Arial" w:hAnsi="Arial" w:cs="Arial"/>
        <w:noProof/>
        <w:sz w:val="18"/>
        <w:szCs w:val="18"/>
      </w:rPr>
      <w:t>7</w:t>
    </w:r>
    <w:r w:rsidR="000A1B15"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0A1B15"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0A1B15" w:rsidRPr="00DA462C">
      <w:rPr>
        <w:rFonts w:ascii="Arial" w:hAnsi="Arial" w:cs="Arial"/>
        <w:sz w:val="18"/>
        <w:szCs w:val="18"/>
      </w:rPr>
      <w:fldChar w:fldCharType="separate"/>
    </w:r>
    <w:r w:rsidR="008933E5">
      <w:rPr>
        <w:rFonts w:ascii="Arial" w:hAnsi="Arial" w:cs="Arial"/>
        <w:noProof/>
        <w:sz w:val="18"/>
        <w:szCs w:val="18"/>
      </w:rPr>
      <w:t>7</w:t>
    </w:r>
    <w:r w:rsidR="000A1B15"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sidR="006157BC">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5712D0" w:rsidRDefault="005712D0" w:rsidP="005712D0">
    <w:pPr>
      <w:pStyle w:val="Zpat"/>
      <w:pBdr>
        <w:top w:val="single" w:sz="4" w:space="1" w:color="auto"/>
      </w:pBdr>
      <w:tabs>
        <w:tab w:val="clear" w:pos="4819"/>
        <w:tab w:val="center" w:pos="4536"/>
      </w:tabs>
      <w:jc w:val="right"/>
      <w:rPr>
        <w:rFonts w:ascii="Arial" w:hAnsi="Arial" w:cs="Arial"/>
        <w:sz w:val="18"/>
        <w:szCs w:val="18"/>
      </w:rPr>
    </w:pPr>
    <w:r w:rsidRPr="00DA462C">
      <w:rPr>
        <w:rFonts w:ascii="Arial" w:hAnsi="Arial" w:cs="Arial"/>
        <w:sz w:val="18"/>
        <w:szCs w:val="18"/>
      </w:rPr>
      <w:t xml:space="preserve">Strana </w:t>
    </w:r>
    <w:r w:rsidR="000A1B15" w:rsidRPr="00DA462C">
      <w:rPr>
        <w:rFonts w:ascii="Arial" w:hAnsi="Arial" w:cs="Arial"/>
        <w:sz w:val="18"/>
        <w:szCs w:val="18"/>
      </w:rPr>
      <w:fldChar w:fldCharType="begin"/>
    </w:r>
    <w:r w:rsidRPr="00DA462C">
      <w:rPr>
        <w:rFonts w:ascii="Arial" w:hAnsi="Arial" w:cs="Arial"/>
        <w:sz w:val="18"/>
        <w:szCs w:val="18"/>
      </w:rPr>
      <w:instrText xml:space="preserve"> PAGE </w:instrText>
    </w:r>
    <w:r w:rsidR="000A1B15" w:rsidRPr="00DA462C">
      <w:rPr>
        <w:rFonts w:ascii="Arial" w:hAnsi="Arial" w:cs="Arial"/>
        <w:sz w:val="18"/>
        <w:szCs w:val="18"/>
      </w:rPr>
      <w:fldChar w:fldCharType="separate"/>
    </w:r>
    <w:r w:rsidR="008933E5">
      <w:rPr>
        <w:rFonts w:ascii="Arial" w:hAnsi="Arial" w:cs="Arial"/>
        <w:noProof/>
        <w:sz w:val="18"/>
        <w:szCs w:val="18"/>
      </w:rPr>
      <w:t>1</w:t>
    </w:r>
    <w:r w:rsidR="000A1B15"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0A1B15"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0A1B15" w:rsidRPr="00DA462C">
      <w:rPr>
        <w:rFonts w:ascii="Arial" w:hAnsi="Arial" w:cs="Arial"/>
        <w:sz w:val="18"/>
        <w:szCs w:val="18"/>
      </w:rPr>
      <w:fldChar w:fldCharType="separate"/>
    </w:r>
    <w:r w:rsidR="008933E5">
      <w:rPr>
        <w:rFonts w:ascii="Arial" w:hAnsi="Arial" w:cs="Arial"/>
        <w:noProof/>
        <w:sz w:val="18"/>
        <w:szCs w:val="18"/>
      </w:rPr>
      <w:t>7</w:t>
    </w:r>
    <w:r w:rsidR="000A1B15"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sidR="006157BC">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64" w:rsidRDefault="00822164">
      <w:r>
        <w:separator/>
      </w:r>
    </w:p>
  </w:footnote>
  <w:footnote w:type="continuationSeparator" w:id="0">
    <w:p w:rsidR="00822164" w:rsidRDefault="00822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822164">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822164" w:rsidP="008933E5">
    <w:pPr>
      <w:pStyle w:val="Zhlav"/>
      <w:pBdr>
        <w:bottom w:val="single" w:sz="6" w:space="1" w:color="auto"/>
      </w:pBdr>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16E8"/>
    <w:rsid w:val="001238C4"/>
    <w:rsid w:val="00136F45"/>
    <w:rsid w:val="001375CF"/>
    <w:rsid w:val="00137BFB"/>
    <w:rsid w:val="00146C2A"/>
    <w:rsid w:val="001470B5"/>
    <w:rsid w:val="00154B61"/>
    <w:rsid w:val="001656D7"/>
    <w:rsid w:val="001660DB"/>
    <w:rsid w:val="0016695D"/>
    <w:rsid w:val="00172347"/>
    <w:rsid w:val="00177C42"/>
    <w:rsid w:val="001842AA"/>
    <w:rsid w:val="00195FD1"/>
    <w:rsid w:val="001A35EA"/>
    <w:rsid w:val="001A602D"/>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34A08"/>
    <w:rsid w:val="00234D05"/>
    <w:rsid w:val="0023617F"/>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779D"/>
    <w:rsid w:val="002C7823"/>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B5C"/>
    <w:rsid w:val="003D6AE3"/>
    <w:rsid w:val="003E7006"/>
    <w:rsid w:val="003F2180"/>
    <w:rsid w:val="003F6906"/>
    <w:rsid w:val="00402507"/>
    <w:rsid w:val="004077A1"/>
    <w:rsid w:val="00407CF8"/>
    <w:rsid w:val="004117A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2276"/>
    <w:rsid w:val="004E7D40"/>
    <w:rsid w:val="004F47BA"/>
    <w:rsid w:val="004F5E50"/>
    <w:rsid w:val="004F6569"/>
    <w:rsid w:val="005009DD"/>
    <w:rsid w:val="00500F51"/>
    <w:rsid w:val="00503EEE"/>
    <w:rsid w:val="00507466"/>
    <w:rsid w:val="005103B5"/>
    <w:rsid w:val="005128D7"/>
    <w:rsid w:val="00516132"/>
    <w:rsid w:val="005221AF"/>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C4D8C"/>
    <w:rsid w:val="005C4FE4"/>
    <w:rsid w:val="005E53C7"/>
    <w:rsid w:val="005F2939"/>
    <w:rsid w:val="005F637B"/>
    <w:rsid w:val="0060125B"/>
    <w:rsid w:val="0060380F"/>
    <w:rsid w:val="00610CBD"/>
    <w:rsid w:val="00611F34"/>
    <w:rsid w:val="00613ADD"/>
    <w:rsid w:val="0061493C"/>
    <w:rsid w:val="006157B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2438"/>
    <w:rsid w:val="006C3F87"/>
    <w:rsid w:val="006C4523"/>
    <w:rsid w:val="006C4F35"/>
    <w:rsid w:val="006C7E35"/>
    <w:rsid w:val="006D049C"/>
    <w:rsid w:val="006D20A3"/>
    <w:rsid w:val="006D4C5E"/>
    <w:rsid w:val="006E1B9A"/>
    <w:rsid w:val="006E2F4B"/>
    <w:rsid w:val="006E4319"/>
    <w:rsid w:val="006F0C7F"/>
    <w:rsid w:val="006F227D"/>
    <w:rsid w:val="006F6363"/>
    <w:rsid w:val="00707BD3"/>
    <w:rsid w:val="00710A4F"/>
    <w:rsid w:val="007152CF"/>
    <w:rsid w:val="007154F7"/>
    <w:rsid w:val="00721234"/>
    <w:rsid w:val="007308F8"/>
    <w:rsid w:val="00733DEC"/>
    <w:rsid w:val="00734189"/>
    <w:rsid w:val="007346E8"/>
    <w:rsid w:val="007406CB"/>
    <w:rsid w:val="00742D6F"/>
    <w:rsid w:val="00755C13"/>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33E5"/>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1BEA"/>
    <w:rsid w:val="009523EE"/>
    <w:rsid w:val="00953964"/>
    <w:rsid w:val="009550A2"/>
    <w:rsid w:val="009606B5"/>
    <w:rsid w:val="00962E8B"/>
    <w:rsid w:val="009731EA"/>
    <w:rsid w:val="00982D20"/>
    <w:rsid w:val="00985D49"/>
    <w:rsid w:val="00990C20"/>
    <w:rsid w:val="0099295B"/>
    <w:rsid w:val="00994B57"/>
    <w:rsid w:val="009A1475"/>
    <w:rsid w:val="009B0733"/>
    <w:rsid w:val="009B124A"/>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EF3"/>
    <w:rsid w:val="00A521D3"/>
    <w:rsid w:val="00A5435E"/>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DA8D3-BF5C-4960-93DC-ED85AB10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2654</Words>
  <Characters>15644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Jiří Zevl</cp:lastModifiedBy>
  <cp:revision>10</cp:revision>
  <cp:lastPrinted>2017-05-16T15:14:00Z</cp:lastPrinted>
  <dcterms:created xsi:type="dcterms:W3CDTF">2017-07-24T13:17:00Z</dcterms:created>
  <dcterms:modified xsi:type="dcterms:W3CDTF">2017-08-22T15:05:00Z</dcterms:modified>
</cp:coreProperties>
</file>